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TÉRMINOS Y CONDICIONES DE SUSCRIPCIÓN MAPCOM HUB</w:t>
      </w:r>
    </w:p>
    <w:p>
      <w:pPr>
        <w:spacing w:after="60"/>
      </w:pPr>
      <w:r>
        <w:rPr>
          <w:b/>
        </w:rPr>
        <w:t>Versión:</w:t>
      </w:r>
      <w:r>
        <w:t xml:space="preserve"> 2026-10-12.1</w:t>
      </w:r>
    </w:p>
    <w:p>
      <w:pPr>
        <w:spacing w:after="60"/>
      </w:pPr>
      <w:r>
        <w:rPr>
          <w:b/>
        </w:rPr>
        <w:t>Fecha de actualización:</w:t>
      </w:r>
      <w:r>
        <w:t xml:space="preserve"> 12 de octubre de 2026</w:t>
      </w:r>
    </w:p>
    <w:p>
      <w:pPr>
        <w:spacing w:after="60"/>
      </w:pPr>
      <w:r>
        <w:rPr>
          <w:b/>
        </w:rPr>
        <w:t>Prestador:</w:t>
      </w:r>
      <w:r>
        <w:t xml:space="preserve"> MAPCOM SpA, RUT 78.462.681-4, Antonio Varas 175, oficina 208, Providencia, Chile. Contacto: hola@mapcom.io.</w:t>
      </w:r>
    </w:p>
    <w:p>
      <w:pPr>
        <w:pStyle w:val="Heading1"/>
      </w:pPr>
      <w:r>
        <w:t>1. Contratantes y relación con otros términos</w:t>
      </w:r>
    </w:p>
    <w:p>
      <w:r>
        <w:t xml:space="preserve">Estos términos regulan la suscripción empresarial al servicio </w:t>
      </w:r>
      <w:r>
        <w:rPr>
          <w:b/>
        </w:rPr>
        <w:t>Mapcom Hub</w:t>
      </w:r>
      <w:r>
        <w:t xml:space="preserve">. Quien contrata declara tener capacidad y facultades para representar al negocio. Complementan los </w:t>
      </w:r>
      <w:r>
        <w:rPr>
          <w:i/>
        </w:rPr>
        <w:t>Términos y Condiciones Generales</w:t>
      </w:r>
      <w:r>
        <w:t xml:space="preserve">, la </w:t>
      </w:r>
      <w:r>
        <w:rPr>
          <w:i/>
        </w:rPr>
        <w:t>Política de Privacidad</w:t>
      </w:r>
      <w:r>
        <w:t xml:space="preserve"> y el </w:t>
      </w:r>
      <w:r>
        <w:rPr>
          <w:i/>
        </w:rPr>
        <w:t>Acuerdo de Tratamiento de Datos</w:t>
      </w:r>
      <w:r>
        <w:t xml:space="preserve"> cuando MAPCOM procese información por cuenta del negocio.</w:t>
      </w:r>
    </w:p>
    <w:p>
      <w:r>
        <w:t>La aceptación electrónica debe ser expresa, informada y registrable, con identificación del negocio, usuario autorizado, fecha, versión y condiciones económicas exhibidas. Se debe facilitar al contratante una confirmación y acceso a la versión aceptada.</w:t>
      </w:r>
    </w:p>
    <w:p>
      <w:pPr>
        <w:pStyle w:val="Heading1"/>
      </w:pPr>
      <w:r>
        <w:t>2. Descripción del servicio</w:t>
      </w:r>
    </w:p>
    <w:p>
      <w:r>
        <w:t>Hub es software en línea para administrar información y operaciones de negocios: perfil comercial, sucursales, productos, servicios, precios, inventarios, cajas y registros de ventas, pedidos y comandas, reservas, personal y roles, reportes y funcionalidades de fidelización que estén efectivamente habilitadas en el plan contratado.</w:t>
      </w:r>
    </w:p>
    <w:p>
      <w:r>
        <w:t>Las funciones disponibles pueden depender de configuración, tipo de negocio, país, integraciones, validaciones independientes o evolución del producto. La contratación no incluye asesoría tributaria, contable, laboral o sanitaria, ni garantiza que el sistema emita por sí mismo los documentos tributarios legalmente exigibles. El alcance efectivo y eventuales límites del plan se mostrarán antes de contratar.</w:t>
      </w:r>
    </w:p>
    <w:p>
      <w:pPr>
        <w:pStyle w:val="Heading1"/>
      </w:pPr>
      <w:r>
        <w:t>3. Modelo tecnológico y responsabilidades</w:t>
      </w:r>
    </w:p>
    <w:p>
      <w:r>
        <w:t>MAPCOM suministra la plataforma y asume las obligaciones propias de su diseño, mantenimiento, seguridad y prestación del SaaS. El negocio, en cambio, decide y administra sus precios, ofertas, servicios, inventarios, turnos, personal, permisos, ventas, reclamos, comprobantes y demás obligaciones de su actividad.</w:t>
      </w:r>
    </w:p>
    <w:p>
      <w:r>
        <w:t>MAPCOM no es parte de cada compraventa celebrada por el negocio con su cliente por el solo uso de Hub; ello no excluye obligaciones propias del operador de una plataforma ni responsabilidades legales derivadas de su actuación efectiva. Los usuarios y trabajadores del negocio no adquieren relación laboral con MAPCOM.</w:t>
      </w:r>
    </w:p>
    <w:p>
      <w:pPr>
        <w:pStyle w:val="Heading1"/>
      </w:pPr>
      <w:r>
        <w:t>4. Plan, precio e impuestos</w:t>
      </w:r>
    </w:p>
    <w:p>
      <w:r>
        <w:t xml:space="preserve">El </w:t>
      </w:r>
      <w:r>
        <w:rPr>
          <w:b/>
        </w:rPr>
        <w:t>Plan Full mensual</w:t>
      </w:r>
      <w:r>
        <w:t xml:space="preserve"> tiene un precio de referencia de </w:t>
      </w:r>
      <w:r>
        <w:rPr>
          <w:b/>
        </w:rPr>
        <w:t>USD 20 netos por período mensual, más IVA u otros impuestos que legalmente correspondan</w:t>
      </w:r>
      <w:r>
        <w:t>. En Chile, aplicándose una tasa de IVA de 19 %, el importe sería USD 23,80 equivalentes antes de convertir a pesos, siempre que esa tasa y ese tratamiento tributario sean aplicables en la operación concreta.</w:t>
      </w:r>
    </w:p>
    <w:p>
      <w:r>
        <w:t xml:space="preserve">Cuando el cargo se efectúe en pesos chilenos, MAPCOM aplicará como referencia el último </w:t>
      </w:r>
      <w:r>
        <w:rPr>
          <w:b/>
        </w:rPr>
        <w:t>Dólar Observado</w:t>
      </w:r>
      <w:r>
        <w:t xml:space="preserve"> publicado por el Banco Central de Chile disponible al determinar el cobro; se informará al cliente el tipo de cambio utilizado, fecha de referencia, reglas de redondeo y monto total en CLP antes de completar la autorización de cobro y en el comprobante que corresponda. Si no puede determinarse o informarse el monto exigible, no se ejecutará el cargo hasta subsanar esa situación. Para otros países, el precio, moneda, impuestos y tratamiento tributario se presentarán específicamente antes de contratar.</w:t>
      </w:r>
    </w:p>
    <w:p>
      <w:r>
        <w:t>MAPCOM no podrá cargar importes, comisiones o tributos no informados que correspondan al proveedor. Las comisiones bancarias de conversión que aplique por separado la entidad emisora deberán distinguirse de los cargos de MAPCOM cuando proceda.</w:t>
      </w:r>
    </w:p>
    <w:p>
      <w:pPr>
        <w:pStyle w:val="Heading1"/>
      </w:pPr>
      <w:r>
        <w:t>5. Registro del medio de pago y prueba gratuita</w:t>
      </w:r>
    </w:p>
    <w:p>
      <w:r>
        <w:t>Para activar la suscripción podrá requerirse registrar y autorizar un medio de pago mediante la pasarela informada en pantalla. La inscripción de la tarjeta no representa por sí misma el cobro de la mensualidad.</w:t>
      </w:r>
    </w:p>
    <w:p>
      <w:r>
        <w:t xml:space="preserve">Cada negocio nuevo podrá acceder </w:t>
      </w:r>
      <w:r>
        <w:rPr>
          <w:b/>
        </w:rPr>
        <w:t>una vez</w:t>
      </w:r>
      <w:r>
        <w:t xml:space="preserve"> a un período de prueba de </w:t>
      </w:r>
      <w:r>
        <w:rPr>
          <w:b/>
        </w:rPr>
        <w:t>al menos 30 días</w:t>
      </w:r>
      <w:r>
        <w:t xml:space="preserve">, contado desde la confirmación válida de la inscripción del medio de pago; conforme a la regla comercial definida para el servicio, el fin se ajustará al siguiente inicio de día en la zona horaria comunicada en el checkout. El plazo exacto de vencimiento y </w:t>
      </w:r>
      <w:r>
        <w:rPr>
          <w:b/>
        </w:rPr>
        <w:t>la fecha del primer cargo</w:t>
      </w:r>
      <w:r>
        <w:t xml:space="preserve"> deben quedar disponibles al usuario inmediatamente después de la confirmación, sin perjuicio de la información previa estimada que corresponde ofrecer antes de registrar la tarjeta.</w:t>
      </w:r>
    </w:p>
    <w:p>
      <w:r>
        <w:t>La prueba permite utilizar las funcionalidades habilitadas del plan sujeto a requisitos técnicos o validaciones independientes. Antes de autorizar la tarjeta se debe explicar la duración de la prueba, fecha estimada de cobro, renovación automática, importe total, periodicidad y forma de cancelar.</w:t>
      </w:r>
    </w:p>
    <w:p>
      <w:pPr>
        <w:pStyle w:val="Heading1"/>
      </w:pPr>
      <w:r>
        <w:t>6. Primera mensualidad y renovación</w:t>
      </w:r>
    </w:p>
    <w:p>
      <w:r>
        <w:t>Si el negocio no cancela antes del vencimiento de la prueba, al concluir ésta se inicia un período mensual pagado, con cobro por adelantado conforme a la fecha y monto informados. Las renovaciones posteriores son automáticas por períodos mensuales hasta que se solicite cancelación efectiva.</w:t>
      </w:r>
    </w:p>
    <w:p>
      <w:r>
        <w:t>La próxima fecha de renovación y los montos aplicables deberán mostrarse en la cuenta. Cuando un día de renovación no exista en un mes posterior, el tratamiento de ese caso se mostrará de forma consistente con el calendario implementado, sin adelantar cargos respecto de lo informado. No se efectuarán cargos posteriores a una cancelación efectiva por períodos todavía no iniciados.</w:t>
      </w:r>
    </w:p>
    <w:p>
      <w:pPr>
        <w:pStyle w:val="Heading1"/>
      </w:pPr>
      <w:r>
        <w:t>7. Proveedor de pagos y autorizaciones</w:t>
      </w:r>
    </w:p>
    <w:p>
      <w:r>
        <w:t>El cobro se efectuará únicamente mediante la pasarela habilitada e identificada durante la contratación, como Flow u otra integrada efectivamente. Los términos y estándares de seguridad del procesador de pagos también pueden aplicar a la gestión de los instrumentos financieros.</w:t>
      </w:r>
    </w:p>
    <w:p>
      <w:r>
        <w:t>MAPCOM no necesita recibir ni conservar el número completo de tarjeta o CVV para administrar la suscripción; cuando la pasarela utilice tokenización, MAPCOM recibirá solamente los identificadores y estados necesarios para gestionar el contrato. La autorización del titular cubre los cargos recurrentes correspondientes al plan, importe y periodicidad informados, sujetos a las variaciones expresamente comunicadas y aceptadas cuando proceda.</w:t>
      </w:r>
    </w:p>
    <w:p>
      <w:pPr>
        <w:pStyle w:val="Heading1"/>
      </w:pPr>
      <w:r>
        <w:t>8. Cancelación voluntaria</w:t>
      </w:r>
    </w:p>
    <w:p>
      <w:r>
        <w:t xml:space="preserve">El representante autorizado puede </w:t>
      </w:r>
      <w:r>
        <w:rPr>
          <w:b/>
        </w:rPr>
        <w:t>cancelar la renovación en cualquier momento</w:t>
      </w:r>
      <w:r>
        <w:t xml:space="preserve"> mediante el mecanismo visible y disponible en Hub, u otro canal equivalente y verificable si aquél falla. La cancelación genera una constancia con fecha y estado y debe impedir nuevos cargos por períodos posteriores al período de prueba o período ya pagado.</w:t>
      </w:r>
    </w:p>
    <w:p>
      <w:r>
        <w:t xml:space="preserve">Si se cancela durante la prueba, </w:t>
      </w:r>
      <w:r>
        <w:rPr>
          <w:b/>
        </w:rPr>
        <w:t>no se cobrará la primera mensualidad</w:t>
      </w:r>
      <w:r>
        <w:t>. Si se cancela durante un período pagado, el acceso a las funciones contratadas podrá mantenerse hasta la fecha de término de dicho período, salvo que la cancelación o una norma legal disponga otra cosa. Como regla general, la cancelación no genera devolución proporcional por tiempo no utilizado, sin perjuicio de reembolsos procedentes por ley, error de cobro, incumplimiento u oferta específica.</w:t>
      </w:r>
    </w:p>
    <w:p>
      <w:r>
        <w:t xml:space="preserve">La cancelación </w:t>
      </w:r>
      <w:r>
        <w:rPr>
          <w:b/>
        </w:rPr>
        <w:t>no genera período de gracia de cobro, deuda nueva ni intentos de renovación</w:t>
      </w:r>
      <w:r>
        <w:t>. Cancelar la suscripción no equivale a borrar la cuenta ni a solicitar el borrado inmediato de los datos de operación.</w:t>
      </w:r>
    </w:p>
    <w:p>
      <w:pPr>
        <w:pStyle w:val="Heading1"/>
      </w:pPr>
      <w:r>
        <w:t>9. Fallo de renovación y período de gracia</w:t>
      </w:r>
    </w:p>
    <w:p>
      <w:r>
        <w:t xml:space="preserve">Distinto de la cancelación voluntaria, cuando la suscripción sigue vigente y un pago de renovación falla, MAPCOM podrá aplicar un período de gracia </w:t>
      </w:r>
      <w:r>
        <w:rPr>
          <w:b/>
        </w:rPr>
        <w:t>solo si su duración exacta y condiciones han sido informadas en el producto</w:t>
      </w:r>
      <w:r>
        <w:t>. Durante este período podrá notificar el fallo, solicitar actualización del medio de pago y reintentar el cargo previamente autorizado, dentro de límites legales y contractuales.</w:t>
      </w:r>
    </w:p>
    <w:p>
      <w:r>
        <w:t>El pago válido de una cuota vencida podrá regularizar el período al que se imputó, sin alterar arbitrariamente el calendario de renovación comunicado. Si el cliente cancela antes de una próxima renovación, MAPCOM no podrá considerar esa decisión un pago fallido de un nuevo período. Las consecuencias sobre acceso y reactivación deberán coincidir con las mostradas al usuario.</w:t>
      </w:r>
    </w:p>
    <w:p>
      <w:pPr>
        <w:pStyle w:val="Heading1"/>
      </w:pPr>
      <w:r>
        <w:t>10. Suspensión y reactivación</w:t>
      </w:r>
    </w:p>
    <w:p>
      <w:r>
        <w:t>MAPCOM podrá restringir funcionalidades pagadas si no se regulariza una renovación fallida dentro de la gracia informada, o ante incumplimientos graves, abuso, fraude o riesgos de seguridad. Cuando sea razonablemente posible notificará el motivo y el modo de subsanarlo. Las medidas inmediatas deberán reservarse para riesgos urgentes o deberes legales.</w:t>
      </w:r>
    </w:p>
    <w:p>
      <w:r>
        <w:t>Si una suscripción suspendida se reactiva mediante nueva contratación, se aplicará el precio y período informados en ese momento; no habrá reinicio automático de prueba gratuita por el mismo negocio salvo una oferta expresamente concedida.</w:t>
      </w:r>
    </w:p>
    <w:p>
      <w:pPr>
        <w:pStyle w:val="Heading1"/>
      </w:pPr>
      <w:r>
        <w:t>11. Disponibilidad, soporte, continuidad y ciberseguridad</w:t>
      </w:r>
    </w:p>
    <w:p>
      <w:r>
        <w:t>MAPCOM adoptará medidas técnicas y organizativas razonables de protección, mantenimiento y recuperación; aplicará controles de acceso, prevención de abuso y gestión de incidentes conforme a la naturaleza del servicio. No garantiza disponibilidad del 100 %, compatibilidad con todo dispositivo ni resultados comerciales o financieros específicos.</w:t>
      </w:r>
    </w:p>
    <w:p>
      <w:r>
        <w:t>MAPCOM responderá por las fallas que le sean imputables de acuerdo con la ley y las obligaciones contractuales válidas. Las interrupciones atribuibles a proveedores externos se evaluarán según la participación y deberes de cada parte; la mera intervención de terceros no extingue las obligaciones de MAPCOM. Los niveles de servicio o soporte garantizados serán los expresamente ofrecidos, sin presumir acuerdos de disponibilidad no contratados.</w:t>
      </w:r>
    </w:p>
    <w:p>
      <w:pPr>
        <w:pStyle w:val="Heading1"/>
      </w:pPr>
      <w:r>
        <w:t>12. Obligaciones de administración del negocio</w:t>
      </w:r>
    </w:p>
    <w:p>
      <w:r>
        <w:t>El negocio debe mantener exactos y actualizados sus datos comerciales y tributarios; designar usuarios autorizados; asignar y revocar permisos; proteger las cuentas; mantener precios, stock, disponibilidad y contenido correcto; cumplir normas sectoriales; atender ventas y reclamaciones; y conservar los registros oficiales exigidos por ley. No deberá introducir datos sensibles, información de tarjetas, claves de terceros ni otros datos innecesarios para las funcionalidades utilizadas.</w:t>
      </w:r>
    </w:p>
    <w:p>
      <w:r>
        <w:t>El negocio responde por sus decisiones de comercialización, publicidad, promociones, fidelización y contratación de personal. Deberá asegurarse de contar con fundamentos legales para ingresar o utilizar datos personales de clientes y trabajadores.</w:t>
      </w:r>
    </w:p>
    <w:p>
      <w:pPr>
        <w:pStyle w:val="Heading1"/>
      </w:pPr>
      <w:r>
        <w:t>13. Datos, roles de tratamiento y anexo DPA</w:t>
      </w:r>
    </w:p>
    <w:p>
      <w:r>
        <w:t xml:space="preserve">MAPCOM actúa como responsable respecto de su propia relación contractual, cuentas, cobros, seguridad, soporte y finalidades de plataforma que decida legítimamente. Respecto de datos que el negocio incorpora para gestionar su operación y cuyo tratamiento determina el propio negocio, éste actúa, en principio, como responsable y MAPCOM como encargado bajo las instrucciones documentadas contenidas en el </w:t>
      </w:r>
      <w:r>
        <w:rPr>
          <w:i/>
        </w:rPr>
        <w:t>Acuerdo de Tratamiento de Datos</w:t>
      </w:r>
      <w:r>
        <w:t>. La calificación final depende del tratamiento concreto.</w:t>
      </w:r>
    </w:p>
    <w:p>
      <w:r>
        <w:t>Las finalidades sociales, geolocalización y perfiles personales gestionadas por MAPCOM no pasan automáticamente a ser propiedad ni base de contactos comerciales del negocio. El seguimiento de un negocio no equivale a consentimiento para marketing externo. MAPCOM y el negocio deben tratar separadamente estas finalidades.</w:t>
      </w:r>
    </w:p>
    <w:p>
      <w:pPr>
        <w:pStyle w:val="Heading1"/>
      </w:pPr>
      <w:r>
        <w:t>14. Propiedad de la información y licencia de software</w:t>
      </w:r>
    </w:p>
    <w:p>
      <w:r>
        <w:t>Los contenidos y datos aportados legítimamente por el negocio permanecen bajo los derechos que le correspondan. MAPCOM conserva sus derechos de propiedad intelectual sobre el software, marca, arquitectura, documentación e interfaces. Durante la suscripción se otorga una licencia de uso limitada, no exclusiva y no transferible para los fines comerciales internos permitidos.</w:t>
      </w:r>
    </w:p>
    <w:p>
      <w:r>
        <w:t>MAPCOM podrá efectuar el procesamiento técnico necesario para prestar el servicio y aplicar medidas legítimas de seguridad. Ninguna parte podrá divulgar información confidencial de la otra fuera de las finalidades de la relación, salvo obligación legal o autorización válida.</w:t>
      </w:r>
    </w:p>
    <w:p>
      <w:pPr>
        <w:pStyle w:val="Heading1"/>
      </w:pPr>
      <w:r>
        <w:t>15. Conservación y exportación al término del servicio</w:t>
      </w:r>
    </w:p>
    <w:p>
      <w:r>
        <w:t xml:space="preserve">Al finalizar efectivamente el acceso pagado, MAPCOM habilitará, conforme a las capacidades implementadas y a los derechos del cliente, un </w:t>
      </w:r>
      <w:r>
        <w:rPr>
          <w:b/>
        </w:rPr>
        <w:t>período de 30 días desde el término efectivo del servicio</w:t>
      </w:r>
      <w:r>
        <w:t xml:space="preserve"> para solicitar o realizar la exportación de datos comerciales. El procedimiento, formato, posibles restricciones justificadas y fecha de eliminación deberán ponerse a disposición del negocio. La mera desactivación de la renovación durante un período vigente no activa todavía este plazo.</w:t>
      </w:r>
    </w:p>
    <w:p>
      <w:r>
        <w:t>Transcurrido el plazo aplicable, MAPCOM podrá suprimir o anonimizar datos que ya no deba conservar, sujeto a obligaciones legales, instrucciones del responsable, respaldos técnicos y procedimientos de eliminación. La conservación de datos personales de trabajadores o clientes por cuenta del negocio queda sujeta al DPA. El cierre de la cuenta personal del propietario requiere una evaluación separada de las relaciones y registros del negocio.</w:t>
      </w:r>
    </w:p>
    <w:p>
      <w:pPr>
        <w:pStyle w:val="Heading1"/>
      </w:pPr>
      <w:r>
        <w:t>16. Responsabilidad y compensaciones</w:t>
      </w:r>
    </w:p>
    <w:p>
      <w:r>
        <w:t>MAPCOM responderá por daños directos acreditados que le resulten imputables, conforme a la ley y el contrato. No responderá por la calidad material de bienes vendidos por el negocio, por declaraciones comerciales de éste ni por sus obligaciones legales propias. No se limita ni excluye anticipadamente responsabilidad en casos prohibidos por la legislación aplicable, incluidos dolo, culpa grave, infracción de derechos irrenunciables o deberes legales de protección de datos.</w:t>
      </w:r>
    </w:p>
    <w:p>
      <w:r>
        <w:t>Cualquier límite económico especial de responsabilidad distinto de estas reglas requerirá estipulación válida, clara y compatible con la condición del contratante y las normas de protección aplicables, especialmente respecto de micro y pequeñas empresas.</w:t>
      </w:r>
    </w:p>
    <w:p>
      <w:pPr>
        <w:pStyle w:val="Heading1"/>
      </w:pPr>
      <w:r>
        <w:t>17. Cambios de plan, precio y condiciones</w:t>
      </w:r>
    </w:p>
    <w:p>
      <w:r>
        <w:t>Los cambios materiales de precio, servicios contratados o renovación se comunicarán con anticipación razonable y no producirán cargos retroactivos. Se procurará que entren en vigor desde un período futuro, permitiendo cancelar la renovación antes del cambio. Cuando la ley requiera consentimiento para nuevas condiciones, éste será solicitado expresamente.</w:t>
      </w:r>
    </w:p>
    <w:p>
      <w:pPr>
        <w:pStyle w:val="Heading1"/>
      </w:pPr>
      <w:r>
        <w:t>18. Derechos irrenunciables, retracto y reclamos</w:t>
      </w:r>
    </w:p>
    <w:p>
      <w:r>
        <w:t>Cuando resulte aplicable la Ley N.º 19.496 u otra norma imperativa de consumo, el negocio conservará los derechos que correspondan, incluido el retracto en los casos legalmente previstos. MAPCOM no presume renuncia a ese derecho ni exclusión tácita de su ejercicio por el solo inicio de una prueba gratuita.</w:t>
      </w:r>
    </w:p>
    <w:p>
      <w:r>
        <w:t xml:space="preserve">Consultas sobre facturación, cobros duplicados, devolución y servicio: </w:t>
      </w:r>
      <w:r>
        <w:rPr>
          <w:b/>
        </w:rPr>
        <w:t>hola@mapcom.io</w:t>
      </w:r>
      <w:r>
        <w:t>. Se ofrecerá un canal efectivo de cancelación y consulta dentro de la cuenta o, si éste no funciona, a través del contacto informado.</w:t>
      </w:r>
    </w:p>
    <w:p>
      <w:pPr>
        <w:pStyle w:val="Heading1"/>
      </w:pPr>
      <w:r>
        <w:t>19. Ley y tribunales</w:t>
      </w:r>
    </w:p>
    <w:p>
      <w:r>
        <w:t>Se aplica la legislación chilena con pleno respeto de los derechos y tribunales legalmente competentes. Las micro y pequeñas empresas que reúnan los presupuestos normativos de protección conservan los derechos irrenunciables reconocidos por la Ley N.º 20.416 cuando corresponda. Las normas imperativas aplicables en otros mercados no quedan desplazadas por esta cláusula.</w:t>
      </w:r>
    </w:p>
    <w:p>
      <w:pPr>
        <w:pStyle w:val="Heading1"/>
      </w:pPr>
      <w:r>
        <w:t>20. Registro de aceptación</w:t>
      </w:r>
    </w:p>
    <w:p>
      <w:r>
        <w:t>MAPCOM conservará evidencia razonable de la versión de estos términos, el plan contratado, moneda, precio total, impuestos, fecha de prueba y primer cobro, autorización de renovación, identidad y facultades declaradas del contratante, y fecha de cancelación cuando proceda. El registro de la tarjeta será gestionado por la pasarela de pagos habilitada conforme a su función.</w:t>
      </w:r>
    </w:p>
    <w:sectPr w:rsidR="00FC693F" w:rsidRPr="0006063C" w:rsidSect="00034616">
      <w:headerReference w:type="default" r:id="rId9"/>
      <w:footerReference w:type="default" r:id="rId10"/>
      <w:pgSz w:w="11906" w:h="16838"/>
      <w:pgMar w:top="1304" w:right="1247" w:bottom="1191" w:left="1332" w:header="539" w:footer="5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473"/>
        <w:sz w:val="16"/>
      </w:rPr>
      <w:t xml:space="preserve">MAPCOM SpA  ·  2026-10-12.1  ·  Página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66473"/>
        <w:sz w:val="16"/>
      </w:rPr>
      <w:t>MAPCOM  /  DOCUMENTACIÓN LEGAL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color w:val="132C4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132C4D"/>
      <w:sz w:val="23"/>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132C4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64" w:lineRule="auto" w:before="200"/>
      <w:contextualSpacing/>
    </w:pPr>
    <w:rPr>
      <w:rFonts w:asciiTheme="majorHAnsi" w:eastAsiaTheme="majorEastAsia" w:hAnsiTheme="majorHAnsi" w:cstheme="majorBidi" w:ascii="Aptos Display" w:hAnsi="Aptos Display"/>
      <w:b/>
      <w:color w:val="132C4D"/>
      <w:spacing w:val="5"/>
      <w:kern w:val="28"/>
      <w:sz w:val="3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DE SUSCRIPCIÓN MAPCOM HUB</dc:title>
  <dc:subject>MAPCOM SpA — paquete documental legal 2026-10-12.1</dc:subject>
  <dc:creator>MAPCOM SpA</dc:creator>
  <cp:keywords/>
  <dc:description>generated by python-docx</dc:description>
  <cp:lastModifiedBy/>
  <cp:revision>1</cp:revision>
  <dcterms:created xsi:type="dcterms:W3CDTF">2013-12-23T23:15:00Z</dcterms:created>
  <dcterms:modified xsi:type="dcterms:W3CDTF">2013-12-23T23:15:00Z</dcterms:modified>
  <cp:category/>
</cp:coreProperties>
</file>